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10.0" w:type="dxa"/>
        <w:tblBorders>
          <w:top w:color="d5d5d5" w:space="0" w:sz="4" w:val="single"/>
          <w:bottom w:color="d5d5d5" w:space="0" w:sz="4" w:val="single"/>
        </w:tblBorders>
        <w:tblLayout w:type="fixed"/>
        <w:tblLook w:val="0000"/>
      </w:tblPr>
      <w:tblGrid>
        <w:gridCol w:w="7685"/>
        <w:gridCol w:w="1921"/>
        <w:tblGridChange w:id="0">
          <w:tblGrid>
            <w:gridCol w:w="7685"/>
            <w:gridCol w:w="1921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Policy 302.02: Superintendent Contract and Contract Nonrenewal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Status: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ADOPTED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Original Adopted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01/17/2024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Revised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01/17/2024</w:t>
            </w:r>
            <w:r w:rsidDel="00000000" w:rsidR="00000000" w:rsidRPr="00000000">
              <w:rPr>
                <w:rFonts w:ascii="Lato Black" w:cs="Lato Black" w:eastAsia="Lato Black" w:hAnsi="Lato Black"/>
                <w:b w:val="1"/>
                <w:sz w:val="18"/>
                <w:szCs w:val="18"/>
                <w:rtl w:val="0"/>
              </w:rPr>
              <w:t xml:space="preserve"> | Reviewed Date: 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01/17/2024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3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The length of the contract for employment between the superintendent and the Tri-County board is determined by the board. The contract will begin on July 1 and end on June 30.  The contract will state the terms of employment and shall not exceed three years.</w:t>
        <w:br w:type="textWrapping"/>
        <w:br w:type="textWrapping"/>
        <w:t xml:space="preserve">The first three consecutive years of a contract issued to a newly employed superintendent is considered a probationary period.  The probationary period may be extended for an additional year upon the consent of the superintendent.  In the event of termination of a probationary or non-probationary contract, the board will afford the superintendent appropriate due process, as required by law.  The superintendent and board may mutually agree to terminate the superintendent's contract at any time.</w:t>
        <w:br w:type="textWrapping"/>
        <w:br w:type="textWrapping"/>
        <w:t xml:space="preserve">It is the responsibility of the board to provide the contract for the superintendent.  The board may issue a temporary and nonrenewable contract in accordance with law.</w:t>
        <w:br w:type="textWrapping"/>
        <w:br w:type="textWrapping"/>
        <w:t xml:space="preserve">If the superintendent wishes to resign, to be released from a contract, or to retire, the superintendent must comply with applicable law and board policies.</w:t>
        <w:br w:type="textWrapping"/>
        <w:t xml:space="preserve">  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Layout w:type="fixed"/>
        <w:tblLook w:val="0400"/>
      </w:tblPr>
      <w:tblGrid>
        <w:gridCol w:w="1875"/>
        <w:gridCol w:w="8625"/>
        <w:tblGridChange w:id="0">
          <w:tblGrid>
            <w:gridCol w:w="1875"/>
            <w:gridCol w:w="86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Legal Reference: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u w:val="single"/>
                <w:rtl w:val="0"/>
              </w:rPr>
              <w:t xml:space="preserve">Martin v. Waterloo Community School District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, 518 N.W. 2d 381 (Iowa 1994).</w:t>
              <w:br w:type="textWrapping"/>
            </w:r>
            <w:r w:rsidDel="00000000" w:rsidR="00000000" w:rsidRPr="00000000">
              <w:rPr>
                <w:rFonts w:ascii="Lato" w:cs="Lato" w:eastAsia="Lato" w:hAnsi="Lato"/>
                <w:i w:val="1"/>
                <w:u w:val="single"/>
                <w:rtl w:val="0"/>
              </w:rPr>
              <w:t xml:space="preserve">Cook v Plainfield Community School District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, 301 N.W.2d 771 (Iowa App. 1980).</w:t>
              <w:br w:type="textWrapping"/>
            </w:r>
            <w:r w:rsidDel="00000000" w:rsidR="00000000" w:rsidRPr="00000000">
              <w:rPr>
                <w:rFonts w:ascii="Lato" w:cs="Lato" w:eastAsia="Lato" w:hAnsi="Lato"/>
                <w:i w:val="1"/>
                <w:u w:val="single"/>
                <w:rtl w:val="0"/>
              </w:rPr>
              <w:t xml:space="preserve">Board of Education of Fort Madison Community School District v. Youel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, 282 N.W.2d</w:t>
              <w:br w:type="textWrapping"/>
              <w:t xml:space="preserve">    677 (Iowa 1979).</w:t>
              <w:br w:type="textWrapping"/>
            </w:r>
            <w:r w:rsidDel="00000000" w:rsidR="00000000" w:rsidRPr="00000000">
              <w:rPr>
                <w:rFonts w:ascii="Lato" w:cs="Lato" w:eastAsia="Lato" w:hAnsi="Lato"/>
                <w:i w:val="1"/>
                <w:u w:val="single"/>
                <w:rtl w:val="0"/>
              </w:rPr>
              <w:t xml:space="preserve">Briggs v Board of Directors of Hinton Community School District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, 282 N.W.2d 740</w:t>
              <w:br w:type="textWrapping"/>
              <w:t xml:space="preserve">    (Iowa 1979).</w:t>
              <w:br w:type="textWrapping"/>
            </w:r>
            <w:r w:rsidDel="00000000" w:rsidR="00000000" w:rsidRPr="00000000">
              <w:rPr>
                <w:rFonts w:ascii="Lato" w:cs="Lato" w:eastAsia="Lato" w:hAnsi="Lato"/>
                <w:i w:val="1"/>
                <w:u w:val="single"/>
                <w:rtl w:val="0"/>
              </w:rPr>
              <w:t xml:space="preserve">Luse v. Waco Community School District of Henry Co.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, 258 Iowa 1087, 141 N.W.2d</w:t>
              <w:br w:type="textWrapping"/>
              <w:t xml:space="preserve">    607 (1966).</w:t>
              <w:br w:type="textWrapping"/>
              <w:t xml:space="preserve">Iowa Code § 279.</w:t>
              <w:br w:type="textWrapping"/>
              <w:t xml:space="preserve">281 I.A.C. 12.4.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  </w:t>
      </w:r>
    </w:p>
    <w:p w:rsidR="00000000" w:rsidDel="00000000" w:rsidP="00000000" w:rsidRDefault="00000000" w:rsidRPr="00000000" w14:paraId="0000000C">
      <w:pPr>
        <w:pBdr>
          <w:bottom w:color="000000" w:space="1" w:sz="5" w:val="single"/>
        </w:pBd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I.C. Iowa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Iowa Code  § 279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hyperlink r:id="rId7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Directors - Powers and Duties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I.A.C. Iowa Administrative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281 I.A.C. 12.4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hyperlink r:id="rId8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School Personnel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Case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Briggs v. Hinton CSD Bd. of Dir.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282 N.W.2d 740 (Iowa 1979).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Cook v. Plainfield CSD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301 N.W.2d 771 (Iowa App. 1980).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Ft. Madison Board of Ed v. Youel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282 N.W.2d 677 (Iowa 1979).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Luse v. Waco CSD of Henry 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258 Iowa 1087, 141 N.W.2d 607 (1966).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Martin v. Waterloo CSD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518 N.W. 2d 381 (Iowa 1994).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hd w:fill="f9f9f9" w:val="clear"/>
        <w:spacing w:line="480" w:lineRule="auto"/>
        <w:rPr>
          <w:rFonts w:ascii="Lato Black" w:cs="Lato Black" w:eastAsia="Lato Black" w:hAnsi="Lato Black"/>
          <w:b w:val="1"/>
        </w:rPr>
      </w:pPr>
      <w:r w:rsidDel="00000000" w:rsidR="00000000" w:rsidRPr="00000000">
        <w:rPr>
          <w:rFonts w:ascii="Lato Black" w:cs="Lato Black" w:eastAsia="Lato Black" w:hAnsi="Lato Black"/>
          <w:b w:val="1"/>
          <w:rtl w:val="0"/>
        </w:rPr>
        <w:t xml:space="preserve">Cross References</w:t>
      </w:r>
    </w:p>
    <w:tbl>
      <w:tblPr>
        <w:tblStyle w:val="Table4"/>
        <w:tblW w:w="9993.0" w:type="dxa"/>
        <w:jc w:val="left"/>
        <w:tblInd w:w="10.0" w:type="dxa"/>
        <w:tblLayout w:type="fixed"/>
        <w:tblLook w:val="0000"/>
      </w:tblPr>
      <w:tblGrid>
        <w:gridCol w:w="4023"/>
        <w:gridCol w:w="5970"/>
        <w:tblGridChange w:id="0">
          <w:tblGrid>
            <w:gridCol w:w="4023"/>
            <w:gridCol w:w="597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rFonts w:ascii="Lato Black" w:cs="Lato Black" w:eastAsia="Lato Black" w:hAnsi="Lato Black"/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302.08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hyperlink r:id="rId9">
              <w:r w:rsidDel="00000000" w:rsidR="00000000" w:rsidRPr="00000000">
                <w:rPr>
                  <w:rFonts w:ascii="Lato" w:cs="Lato" w:eastAsia="Lato" w:hAnsi="Lato"/>
                  <w:color w:val="0563c1"/>
                  <w:u w:val="single"/>
                  <w:rtl w:val="0"/>
                </w:rPr>
                <w:t xml:space="preserve">Superintendent Consulting/Outside Employment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402" w:top="617" w:left="1434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basedOn w:val="DefaultParagraphFont"/>
    <w:uiPriority w:val="20"/>
    <w:qFormat w:val="1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5.0" w:type="dxa"/>
        <w:left w:w="45.0" w:type="dxa"/>
        <w:bottom w:w="45.0" w:type="dxa"/>
        <w:right w:w="4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mbli.eboardsolutions.com/Policy/ViewPolicy.aspx?S=36031104&amp;revid=1ZeV8sTuEN91ZXKNrF5BVA=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gis.iowa.gov/docs/code/279.pdf" TargetMode="External"/><Relationship Id="rId8" Type="http://schemas.openxmlformats.org/officeDocument/2006/relationships/hyperlink" Target="https://www.legis.iowa.gov/docs/iac/rule/281.12.4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qI5nA8slMpcbDs/jZcoihz0Rw==">CgMxLjAyCGguZ2pkZ3hzOAByITFzdFN6eEp2aUg0UURWZG40dmZJaFFXTEtZeGhJT1lSVg==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2024-02-15T14:54:00Z</dcterms:created>
  <dc:creator>Linda Heisdorffer</dc:creator>
</cp:coreProperties>
</file>